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59B9" w14:textId="77777777" w:rsidR="003C0DB4" w:rsidRPr="003C0DB4" w:rsidRDefault="003C0DB4" w:rsidP="003C0DB4">
      <w:pPr>
        <w:widowControl w:val="0"/>
        <w:adjustRightInd/>
        <w:snapToGrid/>
        <w:spacing w:after="0" w:line="500" w:lineRule="exact"/>
        <w:jc w:val="center"/>
        <w:rPr>
          <w:rFonts w:ascii="黑体" w:eastAsia="黑体" w:hAnsi="Times New Roman" w:cs="Times New Roman" w:hint="eastAsia"/>
          <w:kern w:val="2"/>
          <w:sz w:val="36"/>
          <w:szCs w:val="36"/>
        </w:rPr>
      </w:pPr>
      <w:r w:rsidRPr="003C0DB4">
        <w:rPr>
          <w:rFonts w:ascii="黑体" w:eastAsia="黑体" w:hAnsi="Times New Roman" w:cs="Times New Roman" w:hint="eastAsia"/>
          <w:kern w:val="2"/>
          <w:sz w:val="36"/>
          <w:szCs w:val="36"/>
        </w:rPr>
        <w:t>聊城大学辅导员协同创新社区工作室考核制度</w:t>
      </w:r>
    </w:p>
    <w:p w14:paraId="23F7C19C"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p>
    <w:p w14:paraId="72CB485F"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为充分调动辅导员工作室成员工作积极性、创新性，促进工作室健康发展，特制定本制度。</w:t>
      </w:r>
      <w:r w:rsidRPr="003C0DB4">
        <w:rPr>
          <w:rFonts w:ascii="Calibri" w:eastAsia="仿宋_GB2312" w:hAnsi="Calibri" w:cs="Calibri"/>
          <w:kern w:val="2"/>
          <w:sz w:val="30"/>
          <w:szCs w:val="30"/>
        </w:rPr>
        <w:t> </w:t>
      </w:r>
    </w:p>
    <w:p w14:paraId="7BA46862"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一、工作室主持人考核由党委学生工作部牵头组织实施，成立考核工作小组，结合工作室主持人学习、工作、研究和工作室任务目标完成情况，进行综合考核。工作室成员考核由本工作室主持人负责组织实施。</w:t>
      </w:r>
    </w:p>
    <w:p w14:paraId="6D456BD0"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二、工作室主持人及成员考核每年进行一次，考核等级分为优秀、合格、不合格三个等级。</w:t>
      </w:r>
    </w:p>
    <w:p w14:paraId="1B460047"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三、工作室考核，应在主持人和成员工作总结、自评的基础上，根据定性与定量考评相结合的原则，参照相应的考评体系，确定考核等级。</w:t>
      </w:r>
    </w:p>
    <w:p w14:paraId="6785650E" w14:textId="77777777" w:rsidR="003C0DB4" w:rsidRPr="003C0DB4" w:rsidRDefault="003C0DB4" w:rsidP="003C0DB4">
      <w:pPr>
        <w:widowControl w:val="0"/>
        <w:adjustRightInd/>
        <w:snapToGrid/>
        <w:spacing w:after="0" w:line="500" w:lineRule="exact"/>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 xml:space="preserve">    四、每年评选表彰一批优秀工作室主持人及成员，在全校树立典型，学习先进，交流经验，促进工作。</w:t>
      </w:r>
    </w:p>
    <w:p w14:paraId="0382ABF2" w14:textId="77777777" w:rsidR="003C0DB4" w:rsidRPr="003C0DB4" w:rsidRDefault="003C0DB4" w:rsidP="003C0DB4">
      <w:pPr>
        <w:widowControl w:val="0"/>
        <w:numPr>
          <w:ilvl w:val="0"/>
          <w:numId w:val="4"/>
        </w:numPr>
        <w:adjustRightInd/>
        <w:snapToGrid/>
        <w:spacing w:after="0" w:line="500" w:lineRule="exact"/>
        <w:ind w:firstLineChars="200" w:firstLine="600"/>
        <w:jc w:val="both"/>
        <w:rPr>
          <w:rFonts w:ascii="仿宋_GB2312" w:eastAsia="仿宋_GB2312" w:hAnsi="仿宋_GB2312" w:cs="仿宋_GB2312" w:hint="eastAsia"/>
          <w:kern w:val="2"/>
          <w:sz w:val="30"/>
          <w:szCs w:val="30"/>
        </w:rPr>
      </w:pPr>
      <w:r w:rsidRPr="003C0DB4">
        <w:rPr>
          <w:rFonts w:ascii="仿宋_GB2312" w:eastAsia="仿宋_GB2312" w:hAnsi="仿宋_GB2312" w:cs="仿宋_GB2312" w:hint="eastAsia"/>
          <w:kern w:val="2"/>
          <w:sz w:val="30"/>
          <w:szCs w:val="30"/>
        </w:rPr>
        <w:t xml:space="preserve">工作室成员考核结果作为学校学生工作评奖选优的重要参考依据之一。 </w:t>
      </w:r>
    </w:p>
    <w:p w14:paraId="470B1EEE" w14:textId="77777777" w:rsidR="003C0DB4" w:rsidRPr="003C0DB4" w:rsidRDefault="003C0DB4" w:rsidP="003C0DB4">
      <w:pPr>
        <w:widowControl w:val="0"/>
        <w:adjustRightInd/>
        <w:snapToGrid/>
        <w:spacing w:after="0" w:line="500" w:lineRule="exact"/>
        <w:jc w:val="both"/>
        <w:rPr>
          <w:rFonts w:ascii="仿宋_GB2312" w:eastAsia="仿宋_GB2312" w:hAnsi="仿宋_GB2312" w:cs="仿宋_GB2312" w:hint="eastAsia"/>
          <w:kern w:val="2"/>
          <w:sz w:val="30"/>
          <w:szCs w:val="30"/>
        </w:rPr>
      </w:pPr>
    </w:p>
    <w:p w14:paraId="11081CEE" w14:textId="688A2276"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165900E8" w14:textId="6F84774E"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47E1DFED" w14:textId="3F5852DA"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3A6F412C" w14:textId="592415DE"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5867BA2B" w14:textId="1E5DD944"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1164D0C9" w14:textId="63AA62A5"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1A97338D" w14:textId="35A1795F" w:rsid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kern w:val="2"/>
          <w:sz w:val="30"/>
          <w:szCs w:val="30"/>
        </w:rPr>
      </w:pPr>
    </w:p>
    <w:p w14:paraId="0EBA007D" w14:textId="77777777" w:rsidR="003C0DB4" w:rsidRPr="003C0DB4" w:rsidRDefault="003C0DB4" w:rsidP="003C0DB4">
      <w:pPr>
        <w:widowControl w:val="0"/>
        <w:adjustRightInd/>
        <w:snapToGrid/>
        <w:spacing w:after="0" w:line="500" w:lineRule="exact"/>
        <w:ind w:firstLineChars="200" w:firstLine="600"/>
        <w:jc w:val="both"/>
        <w:rPr>
          <w:rFonts w:ascii="仿宋_GB2312" w:eastAsia="仿宋_GB2312" w:hAnsi="仿宋_GB2312" w:cs="仿宋_GB2312" w:hint="eastAsia"/>
          <w:kern w:val="2"/>
          <w:sz w:val="30"/>
          <w:szCs w:val="30"/>
        </w:rPr>
      </w:pPr>
    </w:p>
    <w:p w14:paraId="7F4A82AA" w14:textId="77777777" w:rsidR="003C0DB4" w:rsidRPr="003C0DB4" w:rsidRDefault="003C0DB4" w:rsidP="003C0DB4">
      <w:pPr>
        <w:widowControl w:val="0"/>
        <w:adjustRightInd/>
        <w:snapToGrid/>
        <w:spacing w:after="0" w:line="500" w:lineRule="exact"/>
        <w:ind w:firstLineChars="200" w:firstLine="600"/>
        <w:jc w:val="both"/>
        <w:rPr>
          <w:rFonts w:ascii="黑体" w:eastAsia="黑体" w:hAnsi="Times New Roman" w:cs="Times New Roman" w:hint="eastAsia"/>
          <w:kern w:val="2"/>
          <w:sz w:val="36"/>
          <w:szCs w:val="24"/>
        </w:rPr>
      </w:pPr>
      <w:r w:rsidRPr="003C0DB4">
        <w:rPr>
          <w:rFonts w:ascii="仿宋_GB2312" w:eastAsia="仿宋_GB2312" w:hAnsi="仿宋_GB2312" w:cs="仿宋_GB2312" w:hint="eastAsia"/>
          <w:kern w:val="2"/>
          <w:sz w:val="30"/>
          <w:szCs w:val="30"/>
        </w:rPr>
        <w:t xml:space="preserve">            </w:t>
      </w:r>
    </w:p>
    <w:p w14:paraId="6883BA67" w14:textId="048CEE65" w:rsidR="003C0DB4" w:rsidRPr="003C0DB4" w:rsidRDefault="003C0DB4" w:rsidP="003C0DB4">
      <w:pPr>
        <w:widowControl w:val="0"/>
        <w:adjustRightInd/>
        <w:snapToGrid/>
        <w:spacing w:after="0"/>
        <w:ind w:firstLineChars="200" w:firstLine="720"/>
        <w:jc w:val="both"/>
        <w:rPr>
          <w:rFonts w:ascii="Calibri" w:eastAsia="仿宋_GB2312" w:hAnsi="Calibri" w:cs="仿宋_GB2312"/>
          <w:kern w:val="2"/>
          <w:sz w:val="28"/>
          <w:szCs w:val="28"/>
        </w:rPr>
      </w:pPr>
      <w:r w:rsidRPr="003C0DB4">
        <w:rPr>
          <w:rFonts w:ascii="黑体" w:eastAsia="黑体" w:hAnsi="Times New Roman" w:cs="Times New Roman" w:hint="eastAsia"/>
          <w:kern w:val="2"/>
          <w:sz w:val="36"/>
          <w:szCs w:val="24"/>
        </w:rPr>
        <w:lastRenderedPageBreak/>
        <w:t xml:space="preserve">  辅导员工作室成员（队员）量化考核表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446"/>
        <w:gridCol w:w="3364"/>
        <w:gridCol w:w="915"/>
        <w:gridCol w:w="1155"/>
      </w:tblGrid>
      <w:tr w:rsidR="003C0DB4" w:rsidRPr="003C0DB4" w14:paraId="0B144B76" w14:textId="77777777" w:rsidTr="008A52DA">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2092EAFF"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b/>
                <w:kern w:val="2"/>
                <w:sz w:val="28"/>
                <w:szCs w:val="28"/>
              </w:rPr>
            </w:pPr>
            <w:r w:rsidRPr="003C0DB4">
              <w:rPr>
                <w:rFonts w:ascii="仿宋_GB2312" w:eastAsia="仿宋_GB2312" w:hAnsi="仿宋_GB2312" w:cs="仿宋_GB2312" w:hint="eastAsia"/>
                <w:b/>
                <w:kern w:val="2"/>
                <w:sz w:val="28"/>
                <w:szCs w:val="28"/>
              </w:rPr>
              <w:t>A</w:t>
            </w:r>
            <w:proofErr w:type="gramStart"/>
            <w:r w:rsidRPr="003C0DB4">
              <w:rPr>
                <w:rFonts w:ascii="仿宋_GB2312" w:eastAsia="仿宋_GB2312" w:hAnsi="仿宋_GB2312" w:cs="仿宋_GB2312" w:hint="eastAsia"/>
                <w:b/>
                <w:kern w:val="2"/>
                <w:sz w:val="28"/>
                <w:szCs w:val="28"/>
              </w:rPr>
              <w:t>级指标</w:t>
            </w:r>
            <w:proofErr w:type="gramEnd"/>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3F4DE97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b/>
                <w:kern w:val="2"/>
                <w:sz w:val="28"/>
                <w:szCs w:val="28"/>
              </w:rPr>
            </w:pPr>
            <w:r w:rsidRPr="003C0DB4">
              <w:rPr>
                <w:rFonts w:ascii="仿宋_GB2312" w:eastAsia="仿宋_GB2312" w:hAnsi="仿宋_GB2312" w:cs="仿宋_GB2312" w:hint="eastAsia"/>
                <w:b/>
                <w:kern w:val="2"/>
                <w:sz w:val="28"/>
                <w:szCs w:val="28"/>
              </w:rPr>
              <w:t>B</w:t>
            </w:r>
            <w:proofErr w:type="gramStart"/>
            <w:r w:rsidRPr="003C0DB4">
              <w:rPr>
                <w:rFonts w:ascii="仿宋_GB2312" w:eastAsia="仿宋_GB2312" w:hAnsi="仿宋_GB2312" w:cs="仿宋_GB2312" w:hint="eastAsia"/>
                <w:b/>
                <w:kern w:val="2"/>
                <w:sz w:val="28"/>
                <w:szCs w:val="28"/>
              </w:rPr>
              <w:t>级指标</w:t>
            </w:r>
            <w:proofErr w:type="gramEnd"/>
          </w:p>
        </w:tc>
        <w:tc>
          <w:tcPr>
            <w:tcW w:w="3364" w:type="dxa"/>
            <w:tcBorders>
              <w:top w:val="single" w:sz="4" w:space="0" w:color="auto"/>
              <w:left w:val="single" w:sz="4" w:space="0" w:color="auto"/>
              <w:bottom w:val="single" w:sz="4" w:space="0" w:color="auto"/>
              <w:right w:val="single" w:sz="4" w:space="0" w:color="auto"/>
              <w:tl2br w:val="nil"/>
              <w:tr2bl w:val="nil"/>
            </w:tcBorders>
            <w:vAlign w:val="center"/>
          </w:tcPr>
          <w:p w14:paraId="2B034ABC"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b/>
                <w:kern w:val="2"/>
                <w:sz w:val="28"/>
                <w:szCs w:val="28"/>
              </w:rPr>
            </w:pPr>
            <w:r w:rsidRPr="003C0DB4">
              <w:rPr>
                <w:rFonts w:ascii="仿宋_GB2312" w:eastAsia="仿宋_GB2312" w:hAnsi="仿宋_GB2312" w:cs="仿宋_GB2312" w:hint="eastAsia"/>
                <w:b/>
                <w:kern w:val="2"/>
                <w:sz w:val="28"/>
                <w:szCs w:val="28"/>
              </w:rPr>
              <w:t>考核内容</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3856DE79"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b/>
                <w:kern w:val="2"/>
                <w:sz w:val="28"/>
                <w:szCs w:val="28"/>
              </w:rPr>
            </w:pPr>
            <w:r w:rsidRPr="003C0DB4">
              <w:rPr>
                <w:rFonts w:ascii="仿宋_GB2312" w:eastAsia="仿宋_GB2312" w:hAnsi="仿宋_GB2312" w:cs="仿宋_GB2312" w:hint="eastAsia"/>
                <w:b/>
                <w:kern w:val="2"/>
                <w:sz w:val="28"/>
                <w:szCs w:val="28"/>
              </w:rPr>
              <w:t>自评得分</w:t>
            </w:r>
          </w:p>
        </w:tc>
        <w:tc>
          <w:tcPr>
            <w:tcW w:w="1155" w:type="dxa"/>
            <w:tcBorders>
              <w:top w:val="single" w:sz="4" w:space="0" w:color="auto"/>
              <w:left w:val="single" w:sz="4" w:space="0" w:color="auto"/>
              <w:bottom w:val="single" w:sz="4" w:space="0" w:color="auto"/>
              <w:right w:val="single" w:sz="4" w:space="0" w:color="auto"/>
              <w:tl2br w:val="nil"/>
              <w:tr2bl w:val="nil"/>
            </w:tcBorders>
            <w:vAlign w:val="center"/>
          </w:tcPr>
          <w:p w14:paraId="77A1891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b/>
                <w:kern w:val="2"/>
                <w:sz w:val="28"/>
                <w:szCs w:val="28"/>
              </w:rPr>
            </w:pPr>
            <w:r w:rsidRPr="003C0DB4">
              <w:rPr>
                <w:rFonts w:ascii="仿宋_GB2312" w:eastAsia="仿宋_GB2312" w:hAnsi="仿宋_GB2312" w:cs="仿宋_GB2312" w:hint="eastAsia"/>
                <w:b/>
                <w:kern w:val="2"/>
                <w:sz w:val="28"/>
                <w:szCs w:val="28"/>
              </w:rPr>
              <w:t>工作室评分</w:t>
            </w:r>
          </w:p>
        </w:tc>
      </w:tr>
      <w:tr w:rsidR="003C0DB4" w:rsidRPr="003C0DB4" w14:paraId="0F89E067" w14:textId="77777777" w:rsidTr="008A52DA">
        <w:tc>
          <w:tcPr>
            <w:tcW w:w="14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49FB22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自身建设</w:t>
            </w:r>
          </w:p>
          <w:p w14:paraId="1D8161AD" w14:textId="77777777" w:rsidR="003C0DB4" w:rsidRPr="003C0DB4" w:rsidRDefault="003C0DB4" w:rsidP="003C0DB4">
            <w:pPr>
              <w:widowControl w:val="0"/>
              <w:adjustRightInd/>
              <w:snapToGrid/>
              <w:spacing w:after="0"/>
              <w:jc w:val="center"/>
              <w:rPr>
                <w:rFonts w:ascii="Calibri" w:eastAsia="仿宋_GB2312" w:hAnsi="Calibri" w:cs="仿宋_GB2312"/>
                <w:kern w:val="2"/>
                <w:sz w:val="28"/>
                <w:szCs w:val="28"/>
              </w:rPr>
            </w:pPr>
            <w:r w:rsidRPr="003C0DB4">
              <w:rPr>
                <w:rFonts w:ascii="仿宋_GB2312" w:eastAsia="仿宋_GB2312" w:hAnsi="仿宋_GB2312" w:cs="仿宋_GB2312" w:hint="eastAsia"/>
                <w:kern w:val="2"/>
                <w:sz w:val="28"/>
                <w:szCs w:val="28"/>
              </w:rPr>
              <w:t>30分</w:t>
            </w: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078CDA7B"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学习情况</w:t>
            </w:r>
          </w:p>
          <w:p w14:paraId="41A64FBD" w14:textId="77777777" w:rsidR="003C0DB4" w:rsidRPr="003C0DB4" w:rsidRDefault="003C0DB4" w:rsidP="003C0DB4">
            <w:pPr>
              <w:widowControl w:val="0"/>
              <w:adjustRightInd/>
              <w:snapToGrid/>
              <w:spacing w:after="0"/>
              <w:jc w:val="center"/>
              <w:rPr>
                <w:rFonts w:ascii="Calibri" w:eastAsia="仿宋_GB2312" w:hAnsi="Calibri" w:cs="仿宋_GB2312"/>
                <w:kern w:val="2"/>
                <w:sz w:val="28"/>
                <w:szCs w:val="28"/>
              </w:rPr>
            </w:pPr>
            <w:r w:rsidRPr="003C0DB4">
              <w:rPr>
                <w:rFonts w:ascii="仿宋_GB2312" w:eastAsia="仿宋_GB2312" w:hAnsi="仿宋_GB2312" w:cs="仿宋_GB2312" w:hint="eastAsia"/>
                <w:kern w:val="2"/>
                <w:sz w:val="28"/>
                <w:szCs w:val="28"/>
              </w:rPr>
              <w:t>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244DE233"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积极参加学校以及工作室组织的学习活动，撰写学习笔记及心得体会，完成学习任务。无故不参加活动，每次扣1分。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5AEB7E84"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17616C71"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62F2FA8E" w14:textId="77777777" w:rsidTr="008A52DA">
        <w:tc>
          <w:tcPr>
            <w:tcW w:w="1446" w:type="dxa"/>
            <w:vMerge/>
            <w:tcBorders>
              <w:top w:val="single" w:sz="4" w:space="0" w:color="auto"/>
              <w:left w:val="single" w:sz="4" w:space="0" w:color="auto"/>
              <w:bottom w:val="single" w:sz="4" w:space="0" w:color="auto"/>
              <w:right w:val="single" w:sz="4" w:space="0" w:color="auto"/>
              <w:tl2br w:val="nil"/>
              <w:tr2bl w:val="nil"/>
            </w:tcBorders>
          </w:tcPr>
          <w:p w14:paraId="37728F7C"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40F74723"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培训情况</w:t>
            </w:r>
          </w:p>
          <w:p w14:paraId="6970E14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2A805424" w14:textId="77777777" w:rsidR="003C0DB4" w:rsidRPr="003C0DB4" w:rsidRDefault="003C0DB4" w:rsidP="003C0DB4">
            <w:pPr>
              <w:widowControl w:val="0"/>
              <w:adjustRightInd/>
              <w:snapToGrid/>
              <w:spacing w:after="0"/>
              <w:jc w:val="both"/>
              <w:rPr>
                <w:rFonts w:ascii="Calibri" w:eastAsia="仿宋_GB2312" w:hAnsi="Calibri" w:cs="仿宋_GB2312"/>
                <w:kern w:val="2"/>
                <w:sz w:val="24"/>
                <w:szCs w:val="24"/>
              </w:rPr>
            </w:pPr>
            <w:r w:rsidRPr="003C0DB4">
              <w:rPr>
                <w:rFonts w:ascii="仿宋_GB2312" w:eastAsia="仿宋_GB2312" w:hAnsi="仿宋_GB2312" w:cs="仿宋_GB2312" w:hint="eastAsia"/>
                <w:kern w:val="2"/>
                <w:sz w:val="24"/>
                <w:szCs w:val="24"/>
              </w:rPr>
              <w:t>积极参加国家、省、学校和工作室组织的培训，圆满完成90学时的培训任务，计10分。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1828A4A6"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6A41374A"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7A3B595A" w14:textId="77777777" w:rsidTr="008A52DA">
        <w:tc>
          <w:tcPr>
            <w:tcW w:w="1446" w:type="dxa"/>
            <w:vMerge/>
            <w:tcBorders>
              <w:top w:val="single" w:sz="4" w:space="0" w:color="auto"/>
              <w:left w:val="single" w:sz="4" w:space="0" w:color="auto"/>
              <w:bottom w:val="single" w:sz="4" w:space="0" w:color="auto"/>
              <w:right w:val="single" w:sz="4" w:space="0" w:color="auto"/>
              <w:tl2br w:val="nil"/>
              <w:tr2bl w:val="nil"/>
            </w:tcBorders>
          </w:tcPr>
          <w:p w14:paraId="1E831046"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25141C7B"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讲学情况</w:t>
            </w:r>
          </w:p>
          <w:p w14:paraId="0F95665D"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5</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7184C2CB" w14:textId="77777777" w:rsidR="003C0DB4" w:rsidRPr="003C0DB4" w:rsidRDefault="003C0DB4" w:rsidP="003C0DB4">
            <w:pPr>
              <w:widowControl w:val="0"/>
              <w:adjustRightInd/>
              <w:snapToGrid/>
              <w:spacing w:after="0"/>
              <w:jc w:val="both"/>
              <w:rPr>
                <w:rFonts w:ascii="Calibri" w:eastAsia="仿宋_GB2312" w:hAnsi="Calibri" w:cs="仿宋_GB2312"/>
                <w:kern w:val="2"/>
                <w:sz w:val="24"/>
                <w:szCs w:val="24"/>
              </w:rPr>
            </w:pPr>
            <w:r w:rsidRPr="003C0DB4">
              <w:rPr>
                <w:rFonts w:ascii="仿宋_GB2312" w:eastAsia="仿宋_GB2312" w:hAnsi="仿宋_GB2312" w:cs="仿宋_GB2312" w:hint="eastAsia"/>
                <w:kern w:val="2"/>
                <w:sz w:val="24"/>
                <w:szCs w:val="24"/>
              </w:rPr>
              <w:t>积极参与工作室以及校内外讲学活动，每次计1分。校外讲学每次计2分（提供证明材料）。</w:t>
            </w:r>
          </w:p>
        </w:tc>
        <w:tc>
          <w:tcPr>
            <w:tcW w:w="915" w:type="dxa"/>
            <w:tcBorders>
              <w:top w:val="single" w:sz="4" w:space="0" w:color="auto"/>
              <w:left w:val="single" w:sz="4" w:space="0" w:color="auto"/>
              <w:bottom w:val="single" w:sz="4" w:space="0" w:color="auto"/>
              <w:right w:val="single" w:sz="4" w:space="0" w:color="auto"/>
              <w:tl2br w:val="nil"/>
              <w:tr2bl w:val="nil"/>
            </w:tcBorders>
          </w:tcPr>
          <w:p w14:paraId="0D31CAC1"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4A3BFBE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227036AA" w14:textId="77777777" w:rsidTr="008A52DA">
        <w:tc>
          <w:tcPr>
            <w:tcW w:w="1446" w:type="dxa"/>
            <w:vMerge/>
            <w:tcBorders>
              <w:top w:val="single" w:sz="4" w:space="0" w:color="auto"/>
              <w:left w:val="single" w:sz="4" w:space="0" w:color="auto"/>
              <w:bottom w:val="single" w:sz="4" w:space="0" w:color="auto"/>
              <w:right w:val="single" w:sz="4" w:space="0" w:color="auto"/>
              <w:tl2br w:val="nil"/>
              <w:tr2bl w:val="nil"/>
            </w:tcBorders>
          </w:tcPr>
          <w:p w14:paraId="51DFD7BE"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13646C38"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从业资质能力</w:t>
            </w:r>
          </w:p>
          <w:p w14:paraId="0E984BC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5</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03A0DECE"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获得心理咨询师和职业指导师资格证书，每项计2分。鼓励考取其它与大学生思想政治教育工作相关的资格证书，如KAB创业教育（中国）项目培训师、人力资源管理师等，每项计1分。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4D90247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2DD36902"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07E2A9E8" w14:textId="77777777" w:rsidTr="008A52DA">
        <w:tc>
          <w:tcPr>
            <w:tcW w:w="14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5EDCF6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科研工作</w:t>
            </w:r>
          </w:p>
          <w:p w14:paraId="4F3B873A" w14:textId="77777777" w:rsidR="003C0DB4" w:rsidRPr="003C0DB4" w:rsidRDefault="003C0DB4" w:rsidP="003C0DB4">
            <w:pPr>
              <w:widowControl w:val="0"/>
              <w:adjustRightInd/>
              <w:snapToGrid/>
              <w:spacing w:after="0"/>
              <w:jc w:val="center"/>
              <w:rPr>
                <w:rFonts w:ascii="Calibri" w:eastAsia="仿宋_GB2312" w:hAnsi="Calibri" w:cs="仿宋_GB2312"/>
                <w:kern w:val="2"/>
                <w:sz w:val="28"/>
                <w:szCs w:val="28"/>
              </w:rPr>
            </w:pPr>
            <w:r w:rsidRPr="003C0DB4">
              <w:rPr>
                <w:rFonts w:ascii="仿宋_GB2312" w:eastAsia="仿宋_GB2312" w:hAnsi="仿宋_GB2312" w:cs="仿宋_GB2312" w:hint="eastAsia"/>
                <w:kern w:val="2"/>
                <w:sz w:val="28"/>
                <w:szCs w:val="28"/>
              </w:rPr>
              <w:t>30分</w:t>
            </w: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39BF94DC"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论文情况10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05BE9F21" w14:textId="77777777" w:rsidR="003C0DB4" w:rsidRPr="003C0DB4" w:rsidRDefault="003C0DB4" w:rsidP="003C0DB4">
            <w:pPr>
              <w:widowControl w:val="0"/>
              <w:adjustRightInd/>
              <w:snapToGrid/>
              <w:spacing w:after="0"/>
              <w:jc w:val="both"/>
              <w:rPr>
                <w:rFonts w:ascii="Calibri" w:eastAsia="仿宋_GB2312" w:hAnsi="Calibri" w:cs="仿宋_GB2312"/>
                <w:kern w:val="2"/>
                <w:sz w:val="24"/>
                <w:szCs w:val="24"/>
              </w:rPr>
            </w:pPr>
            <w:r w:rsidRPr="003C0DB4">
              <w:rPr>
                <w:rFonts w:ascii="仿宋_GB2312" w:eastAsia="仿宋_GB2312" w:hAnsi="仿宋_GB2312" w:cs="仿宋_GB2312" w:hint="eastAsia"/>
                <w:kern w:val="2"/>
                <w:sz w:val="24"/>
                <w:szCs w:val="24"/>
              </w:rPr>
              <w:t>每年至少撰写调查报告或相关论文至少1篇，或参编一部专著、教材计8分。每增加1篇或一部加1分。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7CEB7B58"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70E7CE4F"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129CD79C" w14:textId="77777777" w:rsidTr="008A52DA">
        <w:trPr>
          <w:trHeight w:val="1427"/>
        </w:trPr>
        <w:tc>
          <w:tcPr>
            <w:tcW w:w="1446" w:type="dxa"/>
            <w:vMerge/>
            <w:tcBorders>
              <w:top w:val="single" w:sz="4" w:space="0" w:color="auto"/>
              <w:left w:val="single" w:sz="4" w:space="0" w:color="auto"/>
              <w:bottom w:val="single" w:sz="4" w:space="0" w:color="auto"/>
              <w:right w:val="single" w:sz="4" w:space="0" w:color="auto"/>
              <w:tl2br w:val="nil"/>
              <w:tr2bl w:val="nil"/>
            </w:tcBorders>
          </w:tcPr>
          <w:p w14:paraId="1D9CF0D7"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28D02D7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科研立项情况10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556DF5E4"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积极参加工作室专题研究工作，计5分。申报科研项目，主持国家级科研立项计5分，省部级课题每项计4分，校级每项计3分。参与课题，根据位次及人员数量，酌情计分。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767F11BA"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03D80DFA"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5F65E6B6" w14:textId="77777777" w:rsidTr="008A52DA">
        <w:trPr>
          <w:trHeight w:val="772"/>
        </w:trPr>
        <w:tc>
          <w:tcPr>
            <w:tcW w:w="1446" w:type="dxa"/>
            <w:vMerge/>
            <w:tcBorders>
              <w:top w:val="single" w:sz="4" w:space="0" w:color="auto"/>
              <w:left w:val="single" w:sz="4" w:space="0" w:color="auto"/>
              <w:bottom w:val="single" w:sz="4" w:space="0" w:color="auto"/>
              <w:right w:val="single" w:sz="4" w:space="0" w:color="auto"/>
              <w:tl2br w:val="nil"/>
              <w:tr2bl w:val="nil"/>
            </w:tcBorders>
          </w:tcPr>
          <w:p w14:paraId="2608407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259D989B"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科研获奖</w:t>
            </w:r>
          </w:p>
          <w:p w14:paraId="29F42C74"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175A362F"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积极参加优秀科研成果评选活动，计5分。获得国家级奖励（前五位）一等奖每项计5分，二等奖计4分，三等奖计3分；省部级奖励（前三位）一等奖每项计4分，二等奖计3分，三等奖计2分；校级奖励（含大学生思想政治研究会，前两位）一等奖每项计3分，二等</w:t>
            </w:r>
            <w:r w:rsidRPr="003C0DB4">
              <w:rPr>
                <w:rFonts w:ascii="仿宋_GB2312" w:eastAsia="仿宋_GB2312" w:hAnsi="仿宋_GB2312" w:cs="仿宋_GB2312" w:hint="eastAsia"/>
                <w:kern w:val="2"/>
                <w:sz w:val="24"/>
                <w:szCs w:val="24"/>
              </w:rPr>
              <w:lastRenderedPageBreak/>
              <w:t>奖计2分，三等奖计1分。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7ADD6CF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1BA9E293"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1"/>
                <w:szCs w:val="21"/>
              </w:rPr>
            </w:pPr>
          </w:p>
        </w:tc>
      </w:tr>
      <w:tr w:rsidR="003C0DB4" w:rsidRPr="003C0DB4" w14:paraId="404A21D0" w14:textId="77777777" w:rsidTr="008A52DA">
        <w:trPr>
          <w:trHeight w:val="1073"/>
        </w:trPr>
        <w:tc>
          <w:tcPr>
            <w:tcW w:w="144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350AEA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实践工作</w:t>
            </w:r>
          </w:p>
          <w:p w14:paraId="29484083"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30分</w:t>
            </w: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53DFBC4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创新工作</w:t>
            </w:r>
          </w:p>
          <w:p w14:paraId="4945DB36" w14:textId="77777777" w:rsidR="003C0DB4" w:rsidRPr="003C0DB4" w:rsidRDefault="003C0DB4" w:rsidP="003C0DB4">
            <w:pPr>
              <w:widowControl w:val="0"/>
              <w:adjustRightInd/>
              <w:snapToGrid/>
              <w:spacing w:after="0"/>
              <w:jc w:val="center"/>
              <w:rPr>
                <w:rFonts w:ascii="Calibri" w:eastAsia="仿宋_GB2312" w:hAnsi="Calibri" w:cs="仿宋_GB2312"/>
                <w:kern w:val="2"/>
                <w:sz w:val="28"/>
                <w:szCs w:val="28"/>
              </w:rPr>
            </w:pPr>
            <w:r w:rsidRPr="003C0DB4">
              <w:rPr>
                <w:rFonts w:ascii="仿宋_GB2312" w:eastAsia="仿宋_GB2312" w:hAnsi="仿宋_GB2312" w:cs="仿宋_GB2312" w:hint="eastAsia"/>
                <w:kern w:val="2"/>
                <w:sz w:val="28"/>
                <w:szCs w:val="28"/>
              </w:rPr>
              <w:t>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17F7790B"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结合工作室工作目标和任务，创造性地开展工作，获省级及以上主管部门表彰或点名表扬每项每位队员计5分，校级每项计3分。（同一内容不重复计分）</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0BEB46FC"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vAlign w:val="center"/>
          </w:tcPr>
          <w:p w14:paraId="5C0ED68F"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r>
      <w:tr w:rsidR="003C0DB4" w:rsidRPr="003C0DB4" w14:paraId="42E0495E" w14:textId="77777777" w:rsidTr="008A52DA">
        <w:trPr>
          <w:trHeight w:val="1429"/>
        </w:trPr>
        <w:tc>
          <w:tcPr>
            <w:tcW w:w="1446" w:type="dxa"/>
            <w:vMerge/>
            <w:tcBorders>
              <w:top w:val="single" w:sz="4" w:space="0" w:color="auto"/>
              <w:left w:val="single" w:sz="4" w:space="0" w:color="auto"/>
              <w:bottom w:val="single" w:sz="4" w:space="0" w:color="auto"/>
              <w:right w:val="single" w:sz="4" w:space="0" w:color="auto"/>
              <w:tl2br w:val="nil"/>
              <w:tr2bl w:val="nil"/>
            </w:tcBorders>
          </w:tcPr>
          <w:p w14:paraId="76FFF7AF"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54CDED95"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典型经验</w:t>
            </w:r>
          </w:p>
          <w:p w14:paraId="7B205474"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2254D27D"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各团队立足研究方向，不断总结</w:t>
            </w:r>
            <w:proofErr w:type="gramStart"/>
            <w:r w:rsidRPr="003C0DB4">
              <w:rPr>
                <w:rFonts w:ascii="仿宋_GB2312" w:eastAsia="仿宋_GB2312" w:hAnsi="仿宋_GB2312" w:cs="仿宋_GB2312" w:hint="eastAsia"/>
                <w:kern w:val="2"/>
                <w:sz w:val="24"/>
                <w:szCs w:val="24"/>
              </w:rPr>
              <w:t>凝炼</w:t>
            </w:r>
            <w:proofErr w:type="gramEnd"/>
            <w:r w:rsidRPr="003C0DB4">
              <w:rPr>
                <w:rFonts w:ascii="仿宋_GB2312" w:eastAsia="仿宋_GB2312" w:hAnsi="仿宋_GB2312" w:cs="仿宋_GB2312" w:hint="eastAsia"/>
                <w:kern w:val="2"/>
                <w:sz w:val="24"/>
                <w:szCs w:val="24"/>
              </w:rPr>
              <w:t>工作经验，形成典型经验，在全校宣传推广，每项计5分。</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2B1BD210"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vAlign w:val="center"/>
          </w:tcPr>
          <w:p w14:paraId="655682AE"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r>
      <w:tr w:rsidR="003C0DB4" w:rsidRPr="003C0DB4" w14:paraId="2FC4A78E" w14:textId="77777777" w:rsidTr="008A52DA">
        <w:trPr>
          <w:trHeight w:val="1844"/>
        </w:trPr>
        <w:tc>
          <w:tcPr>
            <w:tcW w:w="1446" w:type="dxa"/>
            <w:vMerge/>
            <w:tcBorders>
              <w:top w:val="single" w:sz="4" w:space="0" w:color="auto"/>
              <w:left w:val="single" w:sz="4" w:space="0" w:color="auto"/>
              <w:bottom w:val="single" w:sz="4" w:space="0" w:color="auto"/>
              <w:right w:val="single" w:sz="4" w:space="0" w:color="auto"/>
              <w:tl2br w:val="nil"/>
              <w:tr2bl w:val="nil"/>
            </w:tcBorders>
          </w:tcPr>
          <w:p w14:paraId="316B742A"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02544102"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特色工作及品牌项目10</w:t>
            </w:r>
          </w:p>
        </w:tc>
        <w:tc>
          <w:tcPr>
            <w:tcW w:w="3364" w:type="dxa"/>
            <w:tcBorders>
              <w:top w:val="single" w:sz="4" w:space="0" w:color="auto"/>
              <w:left w:val="single" w:sz="4" w:space="0" w:color="auto"/>
              <w:bottom w:val="single" w:sz="4" w:space="0" w:color="auto"/>
              <w:right w:val="single" w:sz="4" w:space="0" w:color="auto"/>
              <w:tl2br w:val="nil"/>
              <w:tr2bl w:val="nil"/>
            </w:tcBorders>
          </w:tcPr>
          <w:p w14:paraId="754EA3B8"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努力培育特色工作和品牌项目，获得教育部或省辅导员精品项目或创新</w:t>
            </w:r>
            <w:proofErr w:type="gramStart"/>
            <w:r w:rsidRPr="003C0DB4">
              <w:rPr>
                <w:rFonts w:ascii="仿宋_GB2312" w:eastAsia="仿宋_GB2312" w:hAnsi="仿宋_GB2312" w:cs="仿宋_GB2312" w:hint="eastAsia"/>
                <w:kern w:val="2"/>
                <w:sz w:val="24"/>
                <w:szCs w:val="24"/>
              </w:rPr>
              <w:t>项目类计10分</w:t>
            </w:r>
            <w:proofErr w:type="gramEnd"/>
            <w:r w:rsidRPr="003C0DB4">
              <w:rPr>
                <w:rFonts w:ascii="仿宋_GB2312" w:eastAsia="仿宋_GB2312" w:hAnsi="仿宋_GB2312" w:cs="仿宋_GB2312" w:hint="eastAsia"/>
                <w:kern w:val="2"/>
                <w:sz w:val="24"/>
                <w:szCs w:val="24"/>
              </w:rPr>
              <w:t>；在学校或工作室评选活动中获奖，每项计5分(同一获奖项目不重复计分）。</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64EBBA50"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vAlign w:val="center"/>
          </w:tcPr>
          <w:p w14:paraId="4257723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r>
      <w:tr w:rsidR="003C0DB4" w:rsidRPr="003C0DB4" w14:paraId="64002A4F" w14:textId="77777777" w:rsidTr="008A52DA">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265CBFB0"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工作效果</w:t>
            </w:r>
          </w:p>
          <w:p w14:paraId="4F32994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10分</w:t>
            </w:r>
          </w:p>
        </w:tc>
        <w:tc>
          <w:tcPr>
            <w:tcW w:w="1446" w:type="dxa"/>
            <w:tcBorders>
              <w:top w:val="single" w:sz="4" w:space="0" w:color="auto"/>
              <w:left w:val="single" w:sz="4" w:space="0" w:color="auto"/>
              <w:bottom w:val="single" w:sz="4" w:space="0" w:color="auto"/>
              <w:right w:val="single" w:sz="4" w:space="0" w:color="auto"/>
              <w:tl2br w:val="nil"/>
              <w:tr2bl w:val="nil"/>
            </w:tcBorders>
            <w:vAlign w:val="center"/>
          </w:tcPr>
          <w:p w14:paraId="632E360B"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宣传报道</w:t>
            </w:r>
          </w:p>
          <w:p w14:paraId="7EDC1F4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p>
        </w:tc>
        <w:tc>
          <w:tcPr>
            <w:tcW w:w="3364" w:type="dxa"/>
            <w:tcBorders>
              <w:top w:val="single" w:sz="4" w:space="0" w:color="auto"/>
              <w:left w:val="single" w:sz="4" w:space="0" w:color="auto"/>
              <w:bottom w:val="single" w:sz="4" w:space="0" w:color="auto"/>
              <w:right w:val="single" w:sz="4" w:space="0" w:color="auto"/>
              <w:tl2br w:val="nil"/>
              <w:tr2bl w:val="nil"/>
            </w:tcBorders>
          </w:tcPr>
          <w:p w14:paraId="5DA809F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4"/>
                <w:szCs w:val="24"/>
              </w:rPr>
            </w:pPr>
            <w:r w:rsidRPr="003C0DB4">
              <w:rPr>
                <w:rFonts w:ascii="仿宋_GB2312" w:eastAsia="仿宋_GB2312" w:hAnsi="仿宋_GB2312" w:cs="仿宋_GB2312" w:hint="eastAsia"/>
                <w:kern w:val="2"/>
                <w:sz w:val="24"/>
                <w:szCs w:val="24"/>
              </w:rPr>
              <w:t>注重成果转化，及时宣传工作特色和成效，扩大社会影响，被国家级新闻媒体宣传报道每项每位队员计3分，省级媒体计2分，校内媒体计1分。结合本院工作，以个人名义进行宣传报道，计分方法同上。（同一内容不重复计分）</w:t>
            </w:r>
          </w:p>
        </w:tc>
        <w:tc>
          <w:tcPr>
            <w:tcW w:w="915" w:type="dxa"/>
            <w:tcBorders>
              <w:top w:val="single" w:sz="4" w:space="0" w:color="auto"/>
              <w:left w:val="single" w:sz="4" w:space="0" w:color="auto"/>
              <w:bottom w:val="single" w:sz="4" w:space="0" w:color="auto"/>
              <w:right w:val="single" w:sz="4" w:space="0" w:color="auto"/>
              <w:tl2br w:val="nil"/>
              <w:tr2bl w:val="nil"/>
            </w:tcBorders>
            <w:vAlign w:val="center"/>
          </w:tcPr>
          <w:p w14:paraId="1292D3E6"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c>
          <w:tcPr>
            <w:tcW w:w="1155" w:type="dxa"/>
            <w:tcBorders>
              <w:top w:val="single" w:sz="4" w:space="0" w:color="auto"/>
              <w:left w:val="single" w:sz="4" w:space="0" w:color="auto"/>
              <w:bottom w:val="single" w:sz="4" w:space="0" w:color="auto"/>
              <w:right w:val="single" w:sz="4" w:space="0" w:color="auto"/>
              <w:tl2br w:val="nil"/>
              <w:tr2bl w:val="nil"/>
            </w:tcBorders>
            <w:vAlign w:val="center"/>
          </w:tcPr>
          <w:p w14:paraId="25D7D481"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1"/>
                <w:szCs w:val="21"/>
              </w:rPr>
            </w:pPr>
          </w:p>
        </w:tc>
      </w:tr>
      <w:tr w:rsidR="003C0DB4" w:rsidRPr="003C0DB4" w14:paraId="0308C633" w14:textId="77777777" w:rsidTr="008A52DA">
        <w:trPr>
          <w:trHeight w:val="369"/>
        </w:trPr>
        <w:tc>
          <w:tcPr>
            <w:tcW w:w="6256" w:type="dxa"/>
            <w:gridSpan w:val="3"/>
            <w:tcBorders>
              <w:top w:val="single" w:sz="4" w:space="0" w:color="auto"/>
              <w:left w:val="single" w:sz="4" w:space="0" w:color="auto"/>
              <w:bottom w:val="single" w:sz="4" w:space="0" w:color="auto"/>
              <w:right w:val="single" w:sz="4" w:space="0" w:color="auto"/>
              <w:tl2br w:val="nil"/>
              <w:tr2bl w:val="nil"/>
            </w:tcBorders>
          </w:tcPr>
          <w:p w14:paraId="7564038B" w14:textId="77777777" w:rsidR="003C0DB4" w:rsidRPr="003C0DB4" w:rsidRDefault="003C0DB4" w:rsidP="003C0DB4">
            <w:pPr>
              <w:widowControl w:val="0"/>
              <w:adjustRightInd/>
              <w:snapToGrid/>
              <w:spacing w:after="0"/>
              <w:jc w:val="center"/>
              <w:rPr>
                <w:rFonts w:ascii="仿宋_GB2312" w:eastAsia="仿宋_GB2312" w:hAnsi="仿宋_GB2312" w:cs="仿宋_GB2312" w:hint="eastAsia"/>
                <w:kern w:val="2"/>
                <w:sz w:val="28"/>
                <w:szCs w:val="28"/>
              </w:rPr>
            </w:pPr>
            <w:r w:rsidRPr="003C0DB4">
              <w:rPr>
                <w:rFonts w:ascii="仿宋_GB2312" w:eastAsia="仿宋_GB2312" w:hAnsi="仿宋_GB2312" w:cs="仿宋_GB2312" w:hint="eastAsia"/>
                <w:kern w:val="2"/>
                <w:sz w:val="28"/>
                <w:szCs w:val="28"/>
              </w:rPr>
              <w:t>总分</w:t>
            </w:r>
          </w:p>
        </w:tc>
        <w:tc>
          <w:tcPr>
            <w:tcW w:w="915" w:type="dxa"/>
            <w:tcBorders>
              <w:top w:val="single" w:sz="4" w:space="0" w:color="auto"/>
              <w:left w:val="single" w:sz="4" w:space="0" w:color="auto"/>
              <w:bottom w:val="single" w:sz="4" w:space="0" w:color="auto"/>
              <w:right w:val="single" w:sz="4" w:space="0" w:color="auto"/>
              <w:tl2br w:val="nil"/>
              <w:tr2bl w:val="nil"/>
            </w:tcBorders>
          </w:tcPr>
          <w:p w14:paraId="18E8EC73"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c>
          <w:tcPr>
            <w:tcW w:w="1155" w:type="dxa"/>
            <w:tcBorders>
              <w:top w:val="single" w:sz="4" w:space="0" w:color="auto"/>
              <w:left w:val="single" w:sz="4" w:space="0" w:color="auto"/>
              <w:bottom w:val="single" w:sz="4" w:space="0" w:color="auto"/>
              <w:right w:val="single" w:sz="4" w:space="0" w:color="auto"/>
              <w:tl2br w:val="nil"/>
              <w:tr2bl w:val="nil"/>
            </w:tcBorders>
          </w:tcPr>
          <w:p w14:paraId="3AC3C27B"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tc>
      </w:tr>
    </w:tbl>
    <w:p w14:paraId="02A83A05" w14:textId="77777777" w:rsidR="003C0DB4" w:rsidRPr="003C0DB4" w:rsidRDefault="003C0DB4" w:rsidP="003C0DB4">
      <w:pPr>
        <w:widowControl w:val="0"/>
        <w:adjustRightInd/>
        <w:snapToGrid/>
        <w:spacing w:after="0"/>
        <w:jc w:val="both"/>
        <w:rPr>
          <w:rFonts w:ascii="仿宋_GB2312" w:eastAsia="仿宋_GB2312" w:hAnsi="仿宋_GB2312" w:cs="仿宋_GB2312" w:hint="eastAsia"/>
          <w:kern w:val="2"/>
          <w:sz w:val="28"/>
          <w:szCs w:val="28"/>
        </w:rPr>
      </w:pPr>
    </w:p>
    <w:p w14:paraId="0AC67ABC" w14:textId="77777777" w:rsidR="003C0DB4" w:rsidRPr="003C0DB4" w:rsidRDefault="003C0DB4" w:rsidP="003C0DB4">
      <w:pPr>
        <w:adjustRightInd/>
        <w:snapToGrid/>
        <w:spacing w:after="0" w:line="540" w:lineRule="atLeast"/>
        <w:ind w:firstLine="600"/>
        <w:jc w:val="both"/>
        <w:rPr>
          <w:rFonts w:ascii="仿宋_GB2312" w:eastAsia="仿宋_GB2312" w:hAnsi="Times New Roman" w:cs="Times New Roman" w:hint="eastAsia"/>
          <w:sz w:val="30"/>
          <w:szCs w:val="30"/>
        </w:rPr>
      </w:pPr>
    </w:p>
    <w:p w14:paraId="0E6F741E" w14:textId="77777777" w:rsidR="001575C1" w:rsidRPr="005B6D7F" w:rsidRDefault="001575C1" w:rsidP="005B6D7F">
      <w:pPr>
        <w:rPr>
          <w:rStyle w:val="a9"/>
          <w:b w:val="0"/>
          <w:bCs w:val="0"/>
        </w:rPr>
      </w:pPr>
    </w:p>
    <w:sectPr w:rsidR="001575C1" w:rsidRPr="005B6D7F" w:rsidSect="006D11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6A82" w14:textId="77777777" w:rsidR="00D2364B" w:rsidRDefault="00D2364B" w:rsidP="001F14DF">
      <w:r>
        <w:separator/>
      </w:r>
    </w:p>
  </w:endnote>
  <w:endnote w:type="continuationSeparator" w:id="0">
    <w:p w14:paraId="6B117E05" w14:textId="77777777" w:rsidR="00D2364B" w:rsidRDefault="00D2364B" w:rsidP="001F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66922"/>
      <w:docPartObj>
        <w:docPartGallery w:val="Page Numbers (Bottom of Page)"/>
        <w:docPartUnique/>
      </w:docPartObj>
    </w:sdtPr>
    <w:sdtEndPr/>
    <w:sdtContent>
      <w:p w14:paraId="18A86D91" w14:textId="77777777" w:rsidR="007744F5" w:rsidRDefault="002F4D06">
        <w:pPr>
          <w:pStyle w:val="a5"/>
          <w:jc w:val="center"/>
        </w:pPr>
        <w:r>
          <w:fldChar w:fldCharType="begin"/>
        </w:r>
        <w:r>
          <w:instrText>PAGE   \* MERGEFORMAT</w:instrText>
        </w:r>
        <w:r>
          <w:fldChar w:fldCharType="separate"/>
        </w:r>
        <w:r>
          <w:rPr>
            <w:lang w:val="zh-CN"/>
          </w:rPr>
          <w:t>2</w:t>
        </w:r>
        <w:r>
          <w:fldChar w:fldCharType="end"/>
        </w:r>
      </w:p>
    </w:sdtContent>
  </w:sdt>
  <w:p w14:paraId="10800B20" w14:textId="77777777" w:rsidR="00220474" w:rsidRDefault="00D23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7EB1" w14:textId="77777777" w:rsidR="00D2364B" w:rsidRDefault="00D2364B" w:rsidP="001F14DF">
      <w:r>
        <w:separator/>
      </w:r>
    </w:p>
  </w:footnote>
  <w:footnote w:type="continuationSeparator" w:id="0">
    <w:p w14:paraId="7595365A" w14:textId="77777777" w:rsidR="00D2364B" w:rsidRDefault="00D2364B" w:rsidP="001F1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292C"/>
    <w:multiLevelType w:val="hybridMultilevel"/>
    <w:tmpl w:val="2AAA40BA"/>
    <w:lvl w:ilvl="0" w:tplc="D5C22D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10704D"/>
    <w:multiLevelType w:val="hybridMultilevel"/>
    <w:tmpl w:val="6BBC7220"/>
    <w:lvl w:ilvl="0" w:tplc="AC888FF4">
      <w:start w:val="1"/>
      <w:numFmt w:val="japaneseCounting"/>
      <w:lvlText w:val="%1、"/>
      <w:lvlJc w:val="left"/>
      <w:pPr>
        <w:ind w:left="480" w:hanging="480"/>
      </w:pPr>
      <w:rPr>
        <w:rFonts w:ascii="仿宋" w:eastAsia="仿宋" w:hAnsi="仿宋"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182960"/>
    <w:multiLevelType w:val="hybridMultilevel"/>
    <w:tmpl w:val="C3F2951E"/>
    <w:lvl w:ilvl="0" w:tplc="558A21B6">
      <w:start w:val="1"/>
      <w:numFmt w:val="decimal"/>
      <w:lvlText w:val="%1．"/>
      <w:lvlJc w:val="left"/>
      <w:pPr>
        <w:ind w:left="855" w:hanging="375"/>
      </w:pPr>
      <w:rPr>
        <w:rFonts w:asciiTheme="minorEastAsia" w:eastAsiaTheme="minorEastAsia" w:hAnsiTheme="minorEastAsia"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2833F9A"/>
    <w:multiLevelType w:val="multilevel"/>
    <w:tmpl w:val="52833F9A"/>
    <w:lvl w:ilvl="0">
      <w:start w:val="5"/>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F"/>
    <w:rsid w:val="000032B2"/>
    <w:rsid w:val="00043EC2"/>
    <w:rsid w:val="000E478D"/>
    <w:rsid w:val="001575C1"/>
    <w:rsid w:val="001839D3"/>
    <w:rsid w:val="001928D1"/>
    <w:rsid w:val="001A26BC"/>
    <w:rsid w:val="001C1F02"/>
    <w:rsid w:val="001D0192"/>
    <w:rsid w:val="001F14DF"/>
    <w:rsid w:val="00200EEE"/>
    <w:rsid w:val="002406B2"/>
    <w:rsid w:val="00243574"/>
    <w:rsid w:val="00252694"/>
    <w:rsid w:val="002C548A"/>
    <w:rsid w:val="002F4D06"/>
    <w:rsid w:val="0030726C"/>
    <w:rsid w:val="0034710F"/>
    <w:rsid w:val="00371F5C"/>
    <w:rsid w:val="00390A17"/>
    <w:rsid w:val="003929B3"/>
    <w:rsid w:val="00393F5D"/>
    <w:rsid w:val="003A42E2"/>
    <w:rsid w:val="003C0DB4"/>
    <w:rsid w:val="004024E7"/>
    <w:rsid w:val="0045177B"/>
    <w:rsid w:val="004E47B3"/>
    <w:rsid w:val="004E5354"/>
    <w:rsid w:val="0054299D"/>
    <w:rsid w:val="005429B1"/>
    <w:rsid w:val="005B4C64"/>
    <w:rsid w:val="005B6D7F"/>
    <w:rsid w:val="005B77FE"/>
    <w:rsid w:val="006A7BAE"/>
    <w:rsid w:val="006B0762"/>
    <w:rsid w:val="006C5AA7"/>
    <w:rsid w:val="006D11E0"/>
    <w:rsid w:val="007010EB"/>
    <w:rsid w:val="007101FA"/>
    <w:rsid w:val="00764B71"/>
    <w:rsid w:val="00775697"/>
    <w:rsid w:val="00784F37"/>
    <w:rsid w:val="007F4E1D"/>
    <w:rsid w:val="00800DF6"/>
    <w:rsid w:val="00817FB1"/>
    <w:rsid w:val="00823A1E"/>
    <w:rsid w:val="008E4580"/>
    <w:rsid w:val="0090088C"/>
    <w:rsid w:val="00942C7E"/>
    <w:rsid w:val="00950E4C"/>
    <w:rsid w:val="009651C8"/>
    <w:rsid w:val="00987C0E"/>
    <w:rsid w:val="0099734C"/>
    <w:rsid w:val="009A11D7"/>
    <w:rsid w:val="009D62F3"/>
    <w:rsid w:val="00A258D9"/>
    <w:rsid w:val="00A667A3"/>
    <w:rsid w:val="00A82C72"/>
    <w:rsid w:val="00AB0088"/>
    <w:rsid w:val="00AE056C"/>
    <w:rsid w:val="00B1186A"/>
    <w:rsid w:val="00B6698D"/>
    <w:rsid w:val="00B853A2"/>
    <w:rsid w:val="00BA22A9"/>
    <w:rsid w:val="00BF76B9"/>
    <w:rsid w:val="00C305A1"/>
    <w:rsid w:val="00C40513"/>
    <w:rsid w:val="00CA1D1A"/>
    <w:rsid w:val="00CD69C2"/>
    <w:rsid w:val="00D06C5F"/>
    <w:rsid w:val="00D11E9C"/>
    <w:rsid w:val="00D2364B"/>
    <w:rsid w:val="00D67F90"/>
    <w:rsid w:val="00DF7087"/>
    <w:rsid w:val="00E71172"/>
    <w:rsid w:val="00ED3363"/>
    <w:rsid w:val="00EE4AED"/>
    <w:rsid w:val="00EE66B0"/>
    <w:rsid w:val="00F32581"/>
    <w:rsid w:val="00F71656"/>
    <w:rsid w:val="00FC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4A80"/>
  <w15:chartTrackingRefBased/>
  <w15:docId w15:val="{1AD216CC-DA9B-4C17-AE26-18DE8E4C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7B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4D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a4">
    <w:name w:val="页眉 字符"/>
    <w:basedOn w:val="a0"/>
    <w:link w:val="a3"/>
    <w:uiPriority w:val="99"/>
    <w:rsid w:val="001F14DF"/>
    <w:rPr>
      <w:sz w:val="18"/>
      <w:szCs w:val="18"/>
    </w:rPr>
  </w:style>
  <w:style w:type="paragraph" w:styleId="a5">
    <w:name w:val="footer"/>
    <w:basedOn w:val="a"/>
    <w:link w:val="a6"/>
    <w:uiPriority w:val="99"/>
    <w:unhideWhenUsed/>
    <w:qFormat/>
    <w:rsid w:val="001F14DF"/>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a6">
    <w:name w:val="页脚 字符"/>
    <w:basedOn w:val="a0"/>
    <w:link w:val="a5"/>
    <w:uiPriority w:val="99"/>
    <w:qFormat/>
    <w:rsid w:val="001F14DF"/>
    <w:rPr>
      <w:sz w:val="18"/>
      <w:szCs w:val="18"/>
    </w:rPr>
  </w:style>
  <w:style w:type="paragraph" w:styleId="a7">
    <w:name w:val="List Paragraph"/>
    <w:basedOn w:val="a"/>
    <w:uiPriority w:val="34"/>
    <w:qFormat/>
    <w:rsid w:val="001C1F02"/>
    <w:pPr>
      <w:widowControl w:val="0"/>
      <w:adjustRightInd/>
      <w:snapToGrid/>
      <w:spacing w:after="0"/>
      <w:ind w:firstLineChars="200" w:firstLine="420"/>
      <w:jc w:val="both"/>
    </w:pPr>
    <w:rPr>
      <w:rFonts w:asciiTheme="minorHAnsi" w:eastAsiaTheme="minorEastAsia" w:hAnsiTheme="minorHAnsi"/>
      <w:kern w:val="2"/>
      <w:sz w:val="21"/>
    </w:rPr>
  </w:style>
  <w:style w:type="paragraph" w:styleId="a8">
    <w:name w:val="Normal (Web)"/>
    <w:basedOn w:val="a"/>
    <w:uiPriority w:val="99"/>
    <w:unhideWhenUsed/>
    <w:qFormat/>
    <w:rsid w:val="003929B3"/>
    <w:pPr>
      <w:adjustRightInd/>
      <w:snapToGrid/>
      <w:spacing w:before="100" w:beforeAutospacing="1" w:after="100" w:afterAutospacing="1"/>
    </w:pPr>
    <w:rPr>
      <w:rFonts w:ascii="宋体" w:eastAsia="宋体" w:hAnsi="宋体" w:cs="宋体"/>
      <w:sz w:val="24"/>
    </w:rPr>
  </w:style>
  <w:style w:type="character" w:styleId="a9">
    <w:name w:val="Strong"/>
    <w:basedOn w:val="a0"/>
    <w:uiPriority w:val="22"/>
    <w:qFormat/>
    <w:rsid w:val="003929B3"/>
    <w:rPr>
      <w:b/>
      <w:bCs/>
    </w:rPr>
  </w:style>
  <w:style w:type="table" w:styleId="aa">
    <w:name w:val="Table Grid"/>
    <w:basedOn w:val="a1"/>
    <w:uiPriority w:val="39"/>
    <w:rsid w:val="0037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qFormat/>
    <w:rsid w:val="001A26BC"/>
    <w:pPr>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569">
      <w:bodyDiv w:val="1"/>
      <w:marLeft w:val="0"/>
      <w:marRight w:val="0"/>
      <w:marTop w:val="0"/>
      <w:marBottom w:val="0"/>
      <w:divBdr>
        <w:top w:val="none" w:sz="0" w:space="0" w:color="auto"/>
        <w:left w:val="none" w:sz="0" w:space="0" w:color="auto"/>
        <w:bottom w:val="none" w:sz="0" w:space="0" w:color="auto"/>
        <w:right w:val="none" w:sz="0" w:space="0" w:color="auto"/>
      </w:divBdr>
    </w:div>
    <w:div w:id="1045719337">
      <w:bodyDiv w:val="1"/>
      <w:marLeft w:val="0"/>
      <w:marRight w:val="0"/>
      <w:marTop w:val="0"/>
      <w:marBottom w:val="0"/>
      <w:divBdr>
        <w:top w:val="none" w:sz="0" w:space="0" w:color="auto"/>
        <w:left w:val="none" w:sz="0" w:space="0" w:color="auto"/>
        <w:bottom w:val="none" w:sz="0" w:space="0" w:color="auto"/>
        <w:right w:val="none" w:sz="0" w:space="0" w:color="auto"/>
      </w:divBdr>
      <w:divsChild>
        <w:div w:id="195567496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玉琴 唐</dc:creator>
  <cp:keywords/>
  <dc:description/>
  <cp:lastModifiedBy>玉琴 唐</cp:lastModifiedBy>
  <cp:revision>2</cp:revision>
  <cp:lastPrinted>2024-05-14T06:45:00Z</cp:lastPrinted>
  <dcterms:created xsi:type="dcterms:W3CDTF">2024-06-05T03:03:00Z</dcterms:created>
  <dcterms:modified xsi:type="dcterms:W3CDTF">2024-06-05T03:03:00Z</dcterms:modified>
</cp:coreProperties>
</file>